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276" w:rsidRPr="00435A9F" w:rsidRDefault="00621276" w:rsidP="000C709C"/>
    <w:p w:rsidR="00621276" w:rsidRPr="00435A9F" w:rsidRDefault="00621276" w:rsidP="000C709C">
      <w:pPr>
        <w:rPr>
          <w:b/>
        </w:rPr>
      </w:pPr>
      <w:r w:rsidRPr="00435A9F">
        <w:t xml:space="preserve">                                             </w:t>
      </w:r>
      <w:r w:rsidRPr="00435A9F">
        <w:rPr>
          <w:b/>
        </w:rPr>
        <w:t>Список новых поступлений по экономике</w:t>
      </w:r>
    </w:p>
    <w:p w:rsidR="00621276" w:rsidRPr="00435A9F" w:rsidRDefault="00621276" w:rsidP="000C709C"/>
    <w:p w:rsidR="00621276" w:rsidRPr="00435A9F" w:rsidRDefault="00621276" w:rsidP="000C709C"/>
    <w:p w:rsidR="000C709C" w:rsidRPr="00435A9F" w:rsidRDefault="000C709C" w:rsidP="000C709C">
      <w:r w:rsidRPr="00435A9F">
        <w:t>1. Зименков, Р. Механизм регулирования внешнеэкономической деятельности американских корпораций / Р. Зименков // Инвестиции в России. – 2017. – № 5. – С. 15-19. – Окончание. Начало: 2017.- № 4. - С. 14-19</w:t>
      </w:r>
    </w:p>
    <w:p w:rsidR="00CA75D5" w:rsidRPr="00435A9F" w:rsidRDefault="00CA75D5" w:rsidP="000C709C"/>
    <w:p w:rsidR="000C709C" w:rsidRPr="00200CDD" w:rsidRDefault="000C709C" w:rsidP="000C709C">
      <w:pPr>
        <w:rPr>
          <w:b/>
        </w:rPr>
      </w:pPr>
      <w:r w:rsidRPr="00200CDD">
        <w:rPr>
          <w:b/>
        </w:rPr>
        <w:t xml:space="preserve"> – Статья посвящена анализу государственного регулирования зарубежных инвестиций США. Показаны основные направления и инструменты поощрения и защиты зарубежной деятельности национальных корпораций. Рассмотрены новые явления в инвестиционной политике США, связанные с приходом к власти президента Д. Трампа.</w:t>
      </w:r>
    </w:p>
    <w:p w:rsidR="000C709C" w:rsidRPr="00435A9F" w:rsidRDefault="000C709C" w:rsidP="00344700">
      <w:r w:rsidRPr="00435A9F">
        <w:t xml:space="preserve"> </w:t>
      </w:r>
    </w:p>
    <w:p w:rsidR="000C709C" w:rsidRPr="00435A9F" w:rsidRDefault="000C709C" w:rsidP="000C709C"/>
    <w:p w:rsidR="000C709C" w:rsidRPr="00435A9F" w:rsidRDefault="000C709C" w:rsidP="000C709C"/>
    <w:p w:rsidR="000C709C" w:rsidRPr="00435A9F" w:rsidRDefault="00344700" w:rsidP="000C709C">
      <w:r w:rsidRPr="00435A9F">
        <w:t>2</w:t>
      </w:r>
      <w:r w:rsidR="000C709C" w:rsidRPr="00435A9F">
        <w:t>. Производственные мощности обрабатывающей промышленности России: важнейшие тенденции и структурные характеристики / Д. Галимов [и др.] // Вопросы экономики. – 2017. – № 5. – С. 60-88</w:t>
      </w:r>
    </w:p>
    <w:p w:rsidR="00344700" w:rsidRPr="00435A9F" w:rsidRDefault="00344700" w:rsidP="000C709C"/>
    <w:p w:rsidR="00344700" w:rsidRPr="00435A9F" w:rsidRDefault="00344700" w:rsidP="000C709C"/>
    <w:p w:rsidR="000C709C" w:rsidRPr="00435A9F" w:rsidRDefault="00344700" w:rsidP="000C709C">
      <w:r w:rsidRPr="00435A9F">
        <w:t>3</w:t>
      </w:r>
      <w:r w:rsidR="000C709C" w:rsidRPr="00435A9F">
        <w:t>. Сухарев, О.</w:t>
      </w:r>
      <w:r w:rsidR="00435A9F" w:rsidRPr="00435A9F">
        <w:t xml:space="preserve"> </w:t>
      </w:r>
      <w:r w:rsidR="000C709C" w:rsidRPr="00435A9F">
        <w:t>Стратегическое планирование: ошибки и возможности / О. Сухарев // Инвестиции в России. – 2017. – № 5. – С. 3-14</w:t>
      </w:r>
    </w:p>
    <w:p w:rsidR="00CA75D5" w:rsidRPr="00435A9F" w:rsidRDefault="00CA75D5" w:rsidP="000C709C"/>
    <w:p w:rsidR="000C709C" w:rsidRPr="00200CDD" w:rsidRDefault="000C709C" w:rsidP="000C709C">
      <w:pPr>
        <w:rPr>
          <w:b/>
        </w:rPr>
      </w:pPr>
      <w:r w:rsidRPr="00435A9F">
        <w:t xml:space="preserve"> </w:t>
      </w:r>
      <w:r w:rsidRPr="00200CDD">
        <w:rPr>
          <w:b/>
        </w:rPr>
        <w:t>– Автором рассмотрены условия, особенности, элементы системы стратегического планирования как базисной функции в управлении государством, показаны возможности аналитического планирования и прогнозирования в принятии управленческих решений на макроэкономическом уровне.</w:t>
      </w:r>
    </w:p>
    <w:p w:rsidR="000C709C" w:rsidRPr="00200CDD" w:rsidRDefault="000C709C" w:rsidP="00344700">
      <w:pPr>
        <w:rPr>
          <w:b/>
        </w:rPr>
      </w:pPr>
      <w:r w:rsidRPr="00200CDD">
        <w:rPr>
          <w:b/>
        </w:rPr>
        <w:t xml:space="preserve"> </w:t>
      </w:r>
    </w:p>
    <w:p w:rsidR="000C709C" w:rsidRPr="00435A9F" w:rsidRDefault="000C709C" w:rsidP="000C709C"/>
    <w:p w:rsidR="000C709C" w:rsidRPr="00435A9F" w:rsidRDefault="00344700" w:rsidP="000C709C">
      <w:r w:rsidRPr="00435A9F">
        <w:t>4</w:t>
      </w:r>
      <w:r w:rsidR="000C709C" w:rsidRPr="00435A9F">
        <w:t>. Фролов, Д. Кризис наноиндустрии и ее будущее / Д. Фролов, И. Полынцев // Экономист. – 2017. – № 5. – С. 27-37</w:t>
      </w:r>
    </w:p>
    <w:p w:rsidR="00344700" w:rsidRPr="00435A9F" w:rsidRDefault="00344700" w:rsidP="00344700"/>
    <w:p w:rsidR="00344700" w:rsidRPr="00435A9F" w:rsidRDefault="00344700" w:rsidP="00344700"/>
    <w:p w:rsidR="00344700" w:rsidRPr="00435A9F" w:rsidRDefault="00344700" w:rsidP="00344700">
      <w:r w:rsidRPr="00435A9F">
        <w:t>5. Карпушко, Е. Н.</w:t>
      </w:r>
      <w:r w:rsidR="00435A9F" w:rsidRPr="00435A9F">
        <w:t xml:space="preserve"> </w:t>
      </w:r>
      <w:r w:rsidRPr="00435A9F">
        <w:t>Реновация как стадия жизненного цикла объекта недвижимости / Е. Н. Карпушко, В. Н. Фазлиахметова, Е. А. Стрельникова // Экономика строительства. – 2017. – № 3. – С. 57-67</w:t>
      </w:r>
    </w:p>
    <w:p w:rsidR="00344700" w:rsidRPr="00435A9F" w:rsidRDefault="00344700" w:rsidP="00344700"/>
    <w:p w:rsidR="00344700" w:rsidRPr="00200CDD" w:rsidRDefault="00344700" w:rsidP="00344700">
      <w:pPr>
        <w:rPr>
          <w:b/>
        </w:rPr>
      </w:pPr>
      <w:r w:rsidRPr="00435A9F">
        <w:t xml:space="preserve"> </w:t>
      </w:r>
      <w:r w:rsidRPr="00200CDD">
        <w:rPr>
          <w:b/>
        </w:rPr>
        <w:t>– Сохранение устаревшего жилищного фонда, его эффективное использование невозможно без проведения своевременных мероприятий, к числу которых относится реновация. В статье подчеркивается важность непрерывного воспроизводства объектов недвижимости для обеспечения бесперебойной эксплуатации основных фондов в жилищной сфере.</w:t>
      </w:r>
    </w:p>
    <w:p w:rsidR="00344700" w:rsidRPr="00435A9F" w:rsidRDefault="00344700" w:rsidP="00344700"/>
    <w:p w:rsidR="00344700" w:rsidRPr="00435A9F" w:rsidRDefault="00344700" w:rsidP="00344700"/>
    <w:p w:rsidR="00344700" w:rsidRPr="00435A9F" w:rsidRDefault="00344700" w:rsidP="00344700">
      <w:r w:rsidRPr="00435A9F">
        <w:t>6. Тихонова, Н. Е.</w:t>
      </w:r>
      <w:r w:rsidR="00435A9F" w:rsidRPr="00435A9F">
        <w:t xml:space="preserve"> </w:t>
      </w:r>
      <w:r w:rsidRPr="00435A9F">
        <w:t>Стратификация по доходам в России на фоне других стран / Н. Е. Тихонова // Общественные науки и современность. – 2017. – № 3. – С. 26-41</w:t>
      </w:r>
    </w:p>
    <w:p w:rsidR="00344700" w:rsidRPr="00435A9F" w:rsidRDefault="00344700" w:rsidP="00344700"/>
    <w:p w:rsidR="00344700" w:rsidRPr="00200CDD" w:rsidRDefault="00344700" w:rsidP="00344700">
      <w:pPr>
        <w:rPr>
          <w:b/>
        </w:rPr>
      </w:pPr>
      <w:r w:rsidRPr="00200CDD">
        <w:rPr>
          <w:b/>
        </w:rPr>
        <w:t xml:space="preserve"> – На основе данных ряда общероссийских опросов проведен анализ особенностей модели доходной стратификации российского общества в сравнении с другими странами (Германией, Венгрией, Болгарией, Венесуэлой, Мексикой и Китаем).</w:t>
      </w:r>
    </w:p>
    <w:p w:rsidR="00344700" w:rsidRPr="00435A9F" w:rsidRDefault="00344700" w:rsidP="00344700"/>
    <w:p w:rsidR="00344700" w:rsidRPr="00435A9F" w:rsidRDefault="00344700" w:rsidP="00344700">
      <w:r w:rsidRPr="00435A9F">
        <w:t xml:space="preserve"> </w:t>
      </w:r>
    </w:p>
    <w:p w:rsidR="00344700" w:rsidRPr="00435A9F" w:rsidRDefault="00344700" w:rsidP="00344700">
      <w:r w:rsidRPr="00435A9F">
        <w:t>7. Хабриева, Т. Я. Социальная справедливость (некоторые конституционные вопросы) / Т. Я. Хабриева, В. Е. Чиркин // Общественные науки и современность. – 2017. – № 3. – С. 5-14</w:t>
      </w:r>
    </w:p>
    <w:p w:rsidR="00344700" w:rsidRPr="00435A9F" w:rsidRDefault="00344700" w:rsidP="00344700"/>
    <w:p w:rsidR="00344700" w:rsidRPr="00200CDD" w:rsidRDefault="00344700" w:rsidP="00344700">
      <w:pPr>
        <w:rPr>
          <w:b/>
        </w:rPr>
      </w:pPr>
      <w:r w:rsidRPr="00200CDD">
        <w:rPr>
          <w:b/>
        </w:rPr>
        <w:t xml:space="preserve"> – В статье рассматривается принцип социальной справедливости в конституционном измерении (на основе норм конституций и других актов конституционного права). Анализируются положения конституций разных стран. Сделан вывод о необходимости совершенствования российского законодательства в свете важнейших социальных индикаторов.</w:t>
      </w:r>
    </w:p>
    <w:p w:rsidR="00344700" w:rsidRPr="00200CDD" w:rsidRDefault="00344700" w:rsidP="00344700">
      <w:pPr>
        <w:rPr>
          <w:b/>
        </w:rPr>
      </w:pPr>
    </w:p>
    <w:p w:rsidR="00344700" w:rsidRPr="00435A9F" w:rsidRDefault="00344700" w:rsidP="00344700"/>
    <w:p w:rsidR="00CA75D5" w:rsidRPr="00435A9F" w:rsidRDefault="00CA75D5" w:rsidP="00344700"/>
    <w:p w:rsidR="00344700" w:rsidRPr="00435A9F" w:rsidRDefault="00435A9F" w:rsidP="00344700">
      <w:r w:rsidRPr="00435A9F">
        <w:t xml:space="preserve">8. </w:t>
      </w:r>
      <w:r w:rsidR="00344700" w:rsidRPr="00435A9F">
        <w:t xml:space="preserve"> Тартышев, А. И. Инновации в ипотечном бизнесе: подводные камни и возможности / А. И. Тартышев // Банковское дело. – 2017. – № 5. – С. 18-21</w:t>
      </w:r>
    </w:p>
    <w:p w:rsidR="00344700" w:rsidRPr="00435A9F" w:rsidRDefault="00344700" w:rsidP="00344700"/>
    <w:p w:rsidR="00344700" w:rsidRPr="00200CDD" w:rsidRDefault="00344700" w:rsidP="00344700">
      <w:pPr>
        <w:rPr>
          <w:b/>
        </w:rPr>
      </w:pPr>
      <w:r w:rsidRPr="00435A9F">
        <w:t xml:space="preserve"> </w:t>
      </w:r>
      <w:r w:rsidRPr="00200CDD">
        <w:rPr>
          <w:b/>
        </w:rPr>
        <w:t>– В статье отражены основные аспекты диджитализации ипотечных сделок в России, показаны продуктовые и сервисные инновации, которые внедрил банк "ДельтаКредит".</w:t>
      </w:r>
    </w:p>
    <w:p w:rsidR="00344700" w:rsidRPr="00435A9F" w:rsidRDefault="00344700" w:rsidP="00344700"/>
    <w:p w:rsidR="00435A9F" w:rsidRPr="00435A9F" w:rsidRDefault="00344700" w:rsidP="00435A9F">
      <w:r w:rsidRPr="00435A9F">
        <w:lastRenderedPageBreak/>
        <w:t xml:space="preserve"> </w:t>
      </w:r>
      <w:r w:rsidR="00435A9F" w:rsidRPr="00435A9F">
        <w:t>9. Кохно, П. Показатели и модели оценки эффективности государственного финансирования исследований и разработок / П. Кохно, А. Кохно, С. Ситников // Общество и экономика. – 2017. – № 5. – С. 39-70</w:t>
      </w:r>
    </w:p>
    <w:p w:rsidR="00344700" w:rsidRPr="00435A9F" w:rsidRDefault="00344700" w:rsidP="00344700"/>
    <w:p w:rsidR="00344700" w:rsidRPr="00435A9F" w:rsidRDefault="00344700" w:rsidP="00344700"/>
    <w:p w:rsidR="00344700" w:rsidRPr="00435A9F" w:rsidRDefault="00344700" w:rsidP="00344700">
      <w:r w:rsidRPr="00435A9F">
        <w:t>10. Важенина, И. Интеграционная зрелость в системе факторов становления конкурентного сотрудничества территорий / И. Важенина, С. Важенин // Проблемы теории и практики управления. – 2017. – № 5. – С. 51-58</w:t>
      </w:r>
    </w:p>
    <w:p w:rsidR="00344700" w:rsidRPr="00435A9F" w:rsidRDefault="00344700" w:rsidP="00344700"/>
    <w:p w:rsidR="00344700" w:rsidRPr="00200CDD" w:rsidRDefault="00344700" w:rsidP="00344700">
      <w:pPr>
        <w:rPr>
          <w:b/>
        </w:rPr>
      </w:pPr>
      <w:r w:rsidRPr="00200CDD">
        <w:rPr>
          <w:b/>
        </w:rPr>
        <w:t xml:space="preserve"> – Рассмотрены факторы, обусловливающие становление конкурентного сотрудничества территорий. В качестве одного из них исследуется интеграционная зрелость территории. Дано авторское понимание сущности интеграционной </w:t>
      </w:r>
      <w:proofErr w:type="gramStart"/>
      <w:r w:rsidRPr="00200CDD">
        <w:rPr>
          <w:b/>
        </w:rPr>
        <w:t>зрелости</w:t>
      </w:r>
      <w:proofErr w:type="gramEnd"/>
      <w:r w:rsidRPr="00200CDD">
        <w:rPr>
          <w:b/>
        </w:rPr>
        <w:t xml:space="preserve">  территории, выделены ее составляющие.</w:t>
      </w:r>
    </w:p>
    <w:p w:rsidR="00344700" w:rsidRPr="00200CDD" w:rsidRDefault="00344700" w:rsidP="00344700">
      <w:pPr>
        <w:rPr>
          <w:b/>
        </w:rPr>
      </w:pPr>
    </w:p>
    <w:p w:rsidR="00344700" w:rsidRPr="00200CDD" w:rsidRDefault="00344700" w:rsidP="00344700">
      <w:pPr>
        <w:rPr>
          <w:b/>
        </w:rPr>
      </w:pPr>
    </w:p>
    <w:p w:rsidR="00344700" w:rsidRPr="00435A9F" w:rsidRDefault="00344700" w:rsidP="00344700">
      <w:r w:rsidRPr="00435A9F">
        <w:t>11. Васильев, В. Управление инновациями: базовые теории и направления / В. Васильев // Проблемы теории и практики управления. – 2017. – № 5. – С. 117-125</w:t>
      </w:r>
    </w:p>
    <w:p w:rsidR="00344700" w:rsidRPr="00435A9F" w:rsidRDefault="00344700" w:rsidP="00344700"/>
    <w:p w:rsidR="00344700" w:rsidRPr="00200CDD" w:rsidRDefault="00344700" w:rsidP="00344700">
      <w:pPr>
        <w:rPr>
          <w:b/>
        </w:rPr>
      </w:pPr>
      <w:r w:rsidRPr="00200CDD">
        <w:rPr>
          <w:b/>
        </w:rPr>
        <w:t xml:space="preserve"> – Показано, что инновационная деятельность должна стимулироваться государством на основе критерия эффективности нововведений. При этом необходимо преодоление тенденции трансформации органов исполнительной власти в субъекты хозяйственной деятельности.</w:t>
      </w:r>
    </w:p>
    <w:p w:rsidR="00344700" w:rsidRPr="00200CDD" w:rsidRDefault="00344700" w:rsidP="00344700">
      <w:pPr>
        <w:rPr>
          <w:b/>
        </w:rPr>
      </w:pPr>
    </w:p>
    <w:p w:rsidR="00435A9F" w:rsidRPr="00435A9F" w:rsidRDefault="00435A9F" w:rsidP="00344700"/>
    <w:p w:rsidR="00344700" w:rsidRPr="00435A9F" w:rsidRDefault="00621276" w:rsidP="00344700">
      <w:r w:rsidRPr="00435A9F">
        <w:t>12</w:t>
      </w:r>
      <w:r w:rsidR="00344700" w:rsidRPr="00435A9F">
        <w:t>. Клавдиенко, В.</w:t>
      </w:r>
      <w:r w:rsidR="00435A9F" w:rsidRPr="00435A9F">
        <w:t xml:space="preserve"> </w:t>
      </w:r>
      <w:r w:rsidR="00344700" w:rsidRPr="00435A9F">
        <w:t>Мировое сообщество в поисках эффективных мер борьбы с контрафактом / В. Клавдиенко // Проблемы теории и практики управления. – 2017. – № 5. – С. 33-43</w:t>
      </w:r>
    </w:p>
    <w:p w:rsidR="00621276" w:rsidRPr="00435A9F" w:rsidRDefault="00621276" w:rsidP="00344700"/>
    <w:p w:rsidR="00344700" w:rsidRPr="00200CDD" w:rsidRDefault="00344700" w:rsidP="00344700">
      <w:pPr>
        <w:rPr>
          <w:b/>
        </w:rPr>
      </w:pPr>
      <w:r w:rsidRPr="00435A9F">
        <w:t xml:space="preserve"> </w:t>
      </w:r>
      <w:r w:rsidRPr="00200CDD">
        <w:rPr>
          <w:b/>
        </w:rPr>
        <w:t>– Исследуются масштаб и основные сферы распространения контрафактной продукции, ее главные поставщики на мировой рынок. Анализируется формирующийся международный институциональный механизм борьбы с контрафактом, обобщаются основные направления и меры противодействия контрафактному производству на национальном и глобальном уровне.</w:t>
      </w:r>
    </w:p>
    <w:p w:rsidR="00344700" w:rsidRPr="00435A9F" w:rsidRDefault="00344700" w:rsidP="00621276">
      <w:r w:rsidRPr="00435A9F">
        <w:t xml:space="preserve"> </w:t>
      </w:r>
    </w:p>
    <w:p w:rsidR="00621276" w:rsidRPr="00435A9F" w:rsidRDefault="00621276" w:rsidP="00621276"/>
    <w:p w:rsidR="00344700" w:rsidRPr="00435A9F" w:rsidRDefault="00621276" w:rsidP="00344700">
      <w:r w:rsidRPr="00435A9F">
        <w:t>13</w:t>
      </w:r>
      <w:r w:rsidR="00344700" w:rsidRPr="00435A9F">
        <w:t>. Лексин, В. Стратегическое целеполагание в структуре государственного управления / В. Лексин // Проблемы теории и практики управления. – 2017. – № 5. – С. 8-20</w:t>
      </w:r>
    </w:p>
    <w:p w:rsidR="00621276" w:rsidRPr="00435A9F" w:rsidRDefault="00621276" w:rsidP="00344700"/>
    <w:p w:rsidR="00344700" w:rsidRPr="00200CDD" w:rsidRDefault="00344700" w:rsidP="00344700">
      <w:pPr>
        <w:rPr>
          <w:b/>
        </w:rPr>
      </w:pPr>
      <w:r w:rsidRPr="00435A9F">
        <w:t xml:space="preserve"> </w:t>
      </w:r>
      <w:r w:rsidRPr="00200CDD">
        <w:rPr>
          <w:b/>
        </w:rPr>
        <w:t>– Анализируются масштаб, разнообразие, декларированные задачи и место целеполагающей функции документов стратегического характера в практике государственного управления. Затрагивается проблема перехода в практику государственного управления всех положений «стратегий», «основных направлений» и других документов стратегического целеполагания.</w:t>
      </w:r>
    </w:p>
    <w:p w:rsidR="00344700" w:rsidRPr="00435A9F" w:rsidRDefault="00344700" w:rsidP="00344700"/>
    <w:p w:rsidR="00621276" w:rsidRPr="00435A9F" w:rsidRDefault="00621276" w:rsidP="00344700"/>
    <w:p w:rsidR="00621276" w:rsidRPr="00435A9F" w:rsidRDefault="00344700" w:rsidP="00344700">
      <w:r w:rsidRPr="00435A9F">
        <w:t>1</w:t>
      </w:r>
      <w:r w:rsidR="00621276" w:rsidRPr="00435A9F">
        <w:t>4</w:t>
      </w:r>
      <w:r w:rsidRPr="00435A9F">
        <w:t>. Савельева, М. О формировании конкурентоспособности региона / М. Савельева, С. Колотов // Проблемы теории и практики управления. – 2017. – № 5. – С. 82-87</w:t>
      </w:r>
    </w:p>
    <w:p w:rsidR="00621276" w:rsidRPr="00435A9F" w:rsidRDefault="00621276" w:rsidP="00344700"/>
    <w:p w:rsidR="00CA75D5" w:rsidRPr="00200CDD" w:rsidRDefault="00344700" w:rsidP="00344700">
      <w:pPr>
        <w:rPr>
          <w:b/>
        </w:rPr>
      </w:pPr>
      <w:r w:rsidRPr="00200CDD">
        <w:rPr>
          <w:b/>
        </w:rPr>
        <w:t xml:space="preserve"> – Рассмотрены целевые ориентиры повышения конкурентоспособности региона, а также факторы обеспечения конкурентных преимуществ. Определены основные направления конкурентоспособности регионов, включающие в себя развитие региональных рынков и отраслевой структуры экономики региона, создание благоприятной среды для инноваций и т.д.</w:t>
      </w:r>
    </w:p>
    <w:p w:rsidR="00344700" w:rsidRPr="00435A9F" w:rsidRDefault="00344700" w:rsidP="00621276">
      <w:r w:rsidRPr="00435A9F">
        <w:t xml:space="preserve"> </w:t>
      </w:r>
    </w:p>
    <w:p w:rsidR="00621276" w:rsidRPr="00435A9F" w:rsidRDefault="00621276" w:rsidP="00621276"/>
    <w:p w:rsidR="00344700" w:rsidRPr="00435A9F" w:rsidRDefault="00344700" w:rsidP="00344700">
      <w:r w:rsidRPr="00435A9F">
        <w:t>1</w:t>
      </w:r>
      <w:r w:rsidR="00621276" w:rsidRPr="00435A9F">
        <w:t>5</w:t>
      </w:r>
      <w:r w:rsidRPr="00435A9F">
        <w:t>. Ткаченко, А. Концепция человеческого капитала и национальная стратегия развития / А. Ткаченко // Проблемы теории и практики управления. – 2017. – № 5. – С. 94-105</w:t>
      </w:r>
    </w:p>
    <w:p w:rsidR="00621276" w:rsidRPr="00435A9F" w:rsidRDefault="00621276" w:rsidP="00344700"/>
    <w:p w:rsidR="00344700" w:rsidRPr="00200CDD" w:rsidRDefault="00344700" w:rsidP="00344700">
      <w:pPr>
        <w:rPr>
          <w:b/>
        </w:rPr>
      </w:pPr>
      <w:r w:rsidRPr="00200CDD">
        <w:rPr>
          <w:b/>
        </w:rPr>
        <w:t xml:space="preserve"> – Показана роль теории человеческого капитала в раскрытии понятий «информационного общества», «экономики обучения» и «экономики, основанной на знаниях».</w:t>
      </w:r>
    </w:p>
    <w:p w:rsidR="00CA75D5" w:rsidRPr="00200CDD" w:rsidRDefault="00CA75D5" w:rsidP="00344700">
      <w:pPr>
        <w:rPr>
          <w:b/>
        </w:rPr>
      </w:pPr>
    </w:p>
    <w:p w:rsidR="00CA75D5" w:rsidRPr="00435A9F" w:rsidRDefault="00CA75D5" w:rsidP="00344700"/>
    <w:p w:rsidR="00344700" w:rsidRPr="00435A9F" w:rsidRDefault="00344700" w:rsidP="00344700">
      <w:r w:rsidRPr="00435A9F">
        <w:t>1</w:t>
      </w:r>
      <w:r w:rsidR="00621276" w:rsidRPr="00435A9F">
        <w:t>6</w:t>
      </w:r>
      <w:r w:rsidRPr="00435A9F">
        <w:t>. Шмаль, Г. И. Нефтегазовый комплекс в условиях геополитических и экономических вызовов: проблемы и пути их решения / Г. И. Шмаль // Нефтяное хозяйство. – 2017. – № 5. – С. 8-11</w:t>
      </w:r>
    </w:p>
    <w:p w:rsidR="00621276" w:rsidRPr="00435A9F" w:rsidRDefault="00621276" w:rsidP="00344700"/>
    <w:p w:rsidR="00621276" w:rsidRPr="00435A9F" w:rsidRDefault="00621276" w:rsidP="00344700"/>
    <w:p w:rsidR="00344700" w:rsidRPr="00435A9F" w:rsidRDefault="00344700" w:rsidP="00344700">
      <w:r w:rsidRPr="00435A9F">
        <w:t>1</w:t>
      </w:r>
      <w:r w:rsidR="00621276" w:rsidRPr="00435A9F">
        <w:t>7</w:t>
      </w:r>
      <w:r w:rsidRPr="00435A9F">
        <w:t>. Шовхалов, Ш. А. Современные подходы к исследованию исламского налогообложения на отечественном рынке мусульманских товаров / Ш. А. Шовхалов // Финансы и Кредит. – 2017. – № 19. – С. 1144-1152</w:t>
      </w:r>
    </w:p>
    <w:p w:rsidR="00344700" w:rsidRPr="00435A9F" w:rsidRDefault="00344700" w:rsidP="00344700"/>
    <w:sectPr w:rsidR="00344700" w:rsidRPr="00435A9F" w:rsidSect="001A1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0C709C"/>
    <w:rsid w:val="000056F0"/>
    <w:rsid w:val="00005EFB"/>
    <w:rsid w:val="00023FCD"/>
    <w:rsid w:val="00024277"/>
    <w:rsid w:val="000469D3"/>
    <w:rsid w:val="0005037F"/>
    <w:rsid w:val="00053299"/>
    <w:rsid w:val="000538D1"/>
    <w:rsid w:val="00055A75"/>
    <w:rsid w:val="000A7958"/>
    <w:rsid w:val="000B6183"/>
    <w:rsid w:val="000B73F4"/>
    <w:rsid w:val="000C709C"/>
    <w:rsid w:val="000D4694"/>
    <w:rsid w:val="000E69B1"/>
    <w:rsid w:val="000F1419"/>
    <w:rsid w:val="000F4F9C"/>
    <w:rsid w:val="00115AFF"/>
    <w:rsid w:val="00122270"/>
    <w:rsid w:val="0013033C"/>
    <w:rsid w:val="0013494A"/>
    <w:rsid w:val="0014100D"/>
    <w:rsid w:val="0014142A"/>
    <w:rsid w:val="001514A6"/>
    <w:rsid w:val="001527FB"/>
    <w:rsid w:val="00155F63"/>
    <w:rsid w:val="00156CAD"/>
    <w:rsid w:val="00174B25"/>
    <w:rsid w:val="001767D8"/>
    <w:rsid w:val="00180224"/>
    <w:rsid w:val="00184CB2"/>
    <w:rsid w:val="00192C8C"/>
    <w:rsid w:val="001A1974"/>
    <w:rsid w:val="001E3CA3"/>
    <w:rsid w:val="001E43D1"/>
    <w:rsid w:val="00200CDD"/>
    <w:rsid w:val="002019F7"/>
    <w:rsid w:val="0021169B"/>
    <w:rsid w:val="00222FDC"/>
    <w:rsid w:val="00237F22"/>
    <w:rsid w:val="002758F7"/>
    <w:rsid w:val="002912E7"/>
    <w:rsid w:val="002A5CFA"/>
    <w:rsid w:val="002C1FBD"/>
    <w:rsid w:val="002F428F"/>
    <w:rsid w:val="00307A59"/>
    <w:rsid w:val="00311526"/>
    <w:rsid w:val="00325938"/>
    <w:rsid w:val="00344700"/>
    <w:rsid w:val="00355CFA"/>
    <w:rsid w:val="00360A90"/>
    <w:rsid w:val="003933C8"/>
    <w:rsid w:val="00395C52"/>
    <w:rsid w:val="00395F30"/>
    <w:rsid w:val="003B001F"/>
    <w:rsid w:val="003B044C"/>
    <w:rsid w:val="003B18B0"/>
    <w:rsid w:val="003B7788"/>
    <w:rsid w:val="003C2FE7"/>
    <w:rsid w:val="003C54C6"/>
    <w:rsid w:val="003C6F98"/>
    <w:rsid w:val="003C7D49"/>
    <w:rsid w:val="003E1654"/>
    <w:rsid w:val="003F5A2E"/>
    <w:rsid w:val="003F7636"/>
    <w:rsid w:val="00403D0E"/>
    <w:rsid w:val="00421599"/>
    <w:rsid w:val="00426572"/>
    <w:rsid w:val="00435A9F"/>
    <w:rsid w:val="0045257A"/>
    <w:rsid w:val="00471780"/>
    <w:rsid w:val="004F2676"/>
    <w:rsid w:val="005052BD"/>
    <w:rsid w:val="00540590"/>
    <w:rsid w:val="00543973"/>
    <w:rsid w:val="00570F43"/>
    <w:rsid w:val="0058626E"/>
    <w:rsid w:val="00595064"/>
    <w:rsid w:val="005A161E"/>
    <w:rsid w:val="005D2F44"/>
    <w:rsid w:val="005E2940"/>
    <w:rsid w:val="00621276"/>
    <w:rsid w:val="00621AC1"/>
    <w:rsid w:val="006434B1"/>
    <w:rsid w:val="0065737F"/>
    <w:rsid w:val="00665A1E"/>
    <w:rsid w:val="006943A8"/>
    <w:rsid w:val="006D3E18"/>
    <w:rsid w:val="006E343D"/>
    <w:rsid w:val="007121EC"/>
    <w:rsid w:val="00767FF4"/>
    <w:rsid w:val="0077649F"/>
    <w:rsid w:val="0078087C"/>
    <w:rsid w:val="00797FDA"/>
    <w:rsid w:val="00813DD4"/>
    <w:rsid w:val="0082153A"/>
    <w:rsid w:val="00821752"/>
    <w:rsid w:val="00835B28"/>
    <w:rsid w:val="0084595B"/>
    <w:rsid w:val="00845B11"/>
    <w:rsid w:val="0086610F"/>
    <w:rsid w:val="00886DE0"/>
    <w:rsid w:val="008876E6"/>
    <w:rsid w:val="008B2931"/>
    <w:rsid w:val="008B47EA"/>
    <w:rsid w:val="008E4EEA"/>
    <w:rsid w:val="00901E88"/>
    <w:rsid w:val="009050DE"/>
    <w:rsid w:val="00905BEC"/>
    <w:rsid w:val="00953CCC"/>
    <w:rsid w:val="00962939"/>
    <w:rsid w:val="009707B3"/>
    <w:rsid w:val="00974A18"/>
    <w:rsid w:val="00980AE4"/>
    <w:rsid w:val="009B1EAD"/>
    <w:rsid w:val="009B4E7A"/>
    <w:rsid w:val="009C06F8"/>
    <w:rsid w:val="009C4DAE"/>
    <w:rsid w:val="009C6559"/>
    <w:rsid w:val="009E2370"/>
    <w:rsid w:val="009E376E"/>
    <w:rsid w:val="009E695F"/>
    <w:rsid w:val="00A50E93"/>
    <w:rsid w:val="00A70FAB"/>
    <w:rsid w:val="00A75680"/>
    <w:rsid w:val="00A8240F"/>
    <w:rsid w:val="00A9103A"/>
    <w:rsid w:val="00A97F96"/>
    <w:rsid w:val="00AD03D2"/>
    <w:rsid w:val="00AE01E9"/>
    <w:rsid w:val="00AF6F30"/>
    <w:rsid w:val="00B144FC"/>
    <w:rsid w:val="00B269AF"/>
    <w:rsid w:val="00B507E2"/>
    <w:rsid w:val="00B652F1"/>
    <w:rsid w:val="00B84DF3"/>
    <w:rsid w:val="00B930A9"/>
    <w:rsid w:val="00BB145D"/>
    <w:rsid w:val="00BC1CF1"/>
    <w:rsid w:val="00BC238D"/>
    <w:rsid w:val="00BC277D"/>
    <w:rsid w:val="00BD446D"/>
    <w:rsid w:val="00BF28AA"/>
    <w:rsid w:val="00BF6C7B"/>
    <w:rsid w:val="00C05904"/>
    <w:rsid w:val="00C2320A"/>
    <w:rsid w:val="00C27047"/>
    <w:rsid w:val="00C47A40"/>
    <w:rsid w:val="00C60FAF"/>
    <w:rsid w:val="00C662B0"/>
    <w:rsid w:val="00C71B68"/>
    <w:rsid w:val="00C75A05"/>
    <w:rsid w:val="00CA75D5"/>
    <w:rsid w:val="00CB7DFD"/>
    <w:rsid w:val="00CC4C00"/>
    <w:rsid w:val="00CD04EB"/>
    <w:rsid w:val="00CE664A"/>
    <w:rsid w:val="00D0612C"/>
    <w:rsid w:val="00D30B8C"/>
    <w:rsid w:val="00D46095"/>
    <w:rsid w:val="00D818EC"/>
    <w:rsid w:val="00DA670E"/>
    <w:rsid w:val="00DB55ED"/>
    <w:rsid w:val="00DB641B"/>
    <w:rsid w:val="00DD1E70"/>
    <w:rsid w:val="00DE30E7"/>
    <w:rsid w:val="00DE3702"/>
    <w:rsid w:val="00DE68E7"/>
    <w:rsid w:val="00E0403A"/>
    <w:rsid w:val="00E37AD2"/>
    <w:rsid w:val="00E7502F"/>
    <w:rsid w:val="00E7509E"/>
    <w:rsid w:val="00E81FCB"/>
    <w:rsid w:val="00EB6CFC"/>
    <w:rsid w:val="00EB79F9"/>
    <w:rsid w:val="00EC414D"/>
    <w:rsid w:val="00EC6A2D"/>
    <w:rsid w:val="00EC7F37"/>
    <w:rsid w:val="00EE0257"/>
    <w:rsid w:val="00EE7918"/>
    <w:rsid w:val="00EF6F95"/>
    <w:rsid w:val="00F231C0"/>
    <w:rsid w:val="00F77358"/>
    <w:rsid w:val="00F81A54"/>
    <w:rsid w:val="00F8371E"/>
    <w:rsid w:val="00F83B61"/>
    <w:rsid w:val="00FC304A"/>
    <w:rsid w:val="00FC3388"/>
    <w:rsid w:val="00FC5AFC"/>
    <w:rsid w:val="00FC6499"/>
    <w:rsid w:val="00FF5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2017-06-14T13:24:00Z</dcterms:created>
  <dcterms:modified xsi:type="dcterms:W3CDTF">2017-06-15T09:26:00Z</dcterms:modified>
</cp:coreProperties>
</file>